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6D22" w14:textId="77777777" w:rsidR="00976A17" w:rsidRDefault="00976A17" w:rsidP="00976A17">
      <w:pPr>
        <w:pStyle w:val="NoSpacing"/>
        <w:rPr>
          <w:b/>
          <w:bCs/>
        </w:rPr>
      </w:pPr>
      <w:r w:rsidRPr="00976A17">
        <w:rPr>
          <w:b/>
          <w:bCs/>
        </w:rPr>
        <w:t>ICL Fincorp Q3 FY25 Results Analysis</w:t>
      </w:r>
    </w:p>
    <w:p w14:paraId="1726668A" w14:textId="77777777" w:rsidR="00976A17" w:rsidRPr="00976A17" w:rsidRDefault="00976A17" w:rsidP="00976A17">
      <w:pPr>
        <w:pStyle w:val="NoSpacing"/>
        <w:rPr>
          <w:b/>
          <w:bCs/>
        </w:rPr>
      </w:pPr>
    </w:p>
    <w:p w14:paraId="4B54BD55" w14:textId="4F5FEE1D" w:rsidR="00976A17" w:rsidRDefault="00976A17" w:rsidP="00976A17">
      <w:pPr>
        <w:pStyle w:val="NoSpacing"/>
      </w:pPr>
      <w:r w:rsidRPr="00976A17">
        <w:rPr>
          <w:b/>
          <w:bCs/>
        </w:rPr>
        <w:t>Financial Performance (Q3 FY25 vs Q3 FY24)</w:t>
      </w:r>
      <w:r w:rsidR="00BF6AF2">
        <w:rPr>
          <w:b/>
          <w:bCs/>
        </w:rPr>
        <w:t xml:space="preserve">: </w:t>
      </w:r>
      <w:r w:rsidRPr="00976A17">
        <w:t xml:space="preserve">The company delivered a </w:t>
      </w:r>
      <w:r w:rsidRPr="00976A17">
        <w:rPr>
          <w:b/>
          <w:bCs/>
        </w:rPr>
        <w:t>strong financial performance</w:t>
      </w:r>
      <w:r w:rsidRPr="00976A17">
        <w:t xml:space="preserve"> in Q3 FY25, with </w:t>
      </w:r>
      <w:r w:rsidRPr="00976A17">
        <w:rPr>
          <w:b/>
          <w:bCs/>
        </w:rPr>
        <w:t>total revenue increasing by 10.6% YoY</w:t>
      </w:r>
      <w:r w:rsidRPr="00976A17">
        <w:t xml:space="preserve"> to </w:t>
      </w:r>
      <w:r w:rsidRPr="00976A17">
        <w:rPr>
          <w:b/>
          <w:bCs/>
        </w:rPr>
        <w:t>₹44.6 Cr</w:t>
      </w:r>
      <w:r w:rsidRPr="00976A17">
        <w:t xml:space="preserve"> from </w:t>
      </w:r>
      <w:r w:rsidRPr="00976A17">
        <w:rPr>
          <w:b/>
          <w:bCs/>
        </w:rPr>
        <w:t>₹40.3 Cr</w:t>
      </w:r>
      <w:r w:rsidRPr="00976A17">
        <w:t xml:space="preserve"> in Q3 FY24. This growth underscores </w:t>
      </w:r>
      <w:r w:rsidRPr="00976A17">
        <w:rPr>
          <w:b/>
          <w:bCs/>
        </w:rPr>
        <w:t>robust business momentum and higher operational efficiencies</w:t>
      </w:r>
      <w:r w:rsidRPr="00976A17">
        <w:t xml:space="preserve">. </w:t>
      </w:r>
      <w:r w:rsidRPr="00976A17">
        <w:rPr>
          <w:b/>
          <w:bCs/>
        </w:rPr>
        <w:t>Profit Before Tax (PBT)</w:t>
      </w:r>
      <w:r w:rsidRPr="00976A17">
        <w:t xml:space="preserve"> registered a </w:t>
      </w:r>
      <w:r w:rsidRPr="00976A17">
        <w:rPr>
          <w:b/>
          <w:bCs/>
        </w:rPr>
        <w:t>264.4% YoY growth</w:t>
      </w:r>
      <w:r w:rsidRPr="00976A17">
        <w:t xml:space="preserve">, rising to </w:t>
      </w:r>
      <w:r w:rsidRPr="00976A17">
        <w:rPr>
          <w:b/>
          <w:bCs/>
        </w:rPr>
        <w:t>₹2.39 Cr</w:t>
      </w:r>
      <w:r w:rsidRPr="00976A17">
        <w:t xml:space="preserve"> compared to </w:t>
      </w:r>
      <w:r w:rsidRPr="00976A17">
        <w:rPr>
          <w:b/>
          <w:bCs/>
        </w:rPr>
        <w:t>₹0.66 Cr</w:t>
      </w:r>
      <w:r w:rsidRPr="00976A17">
        <w:t xml:space="preserve"> in the same period last year. Similarly, </w:t>
      </w:r>
      <w:r w:rsidRPr="00976A17">
        <w:rPr>
          <w:b/>
          <w:bCs/>
        </w:rPr>
        <w:t>Profit After Tax (PAT) grew by 67.0% YoY</w:t>
      </w:r>
      <w:r w:rsidRPr="00976A17">
        <w:t xml:space="preserve"> to </w:t>
      </w:r>
      <w:r w:rsidRPr="00976A17">
        <w:rPr>
          <w:b/>
          <w:bCs/>
        </w:rPr>
        <w:t>₹0.74 Cr</w:t>
      </w:r>
      <w:r w:rsidRPr="00976A17">
        <w:t xml:space="preserve"> from </w:t>
      </w:r>
      <w:r w:rsidRPr="00976A17">
        <w:rPr>
          <w:b/>
          <w:bCs/>
        </w:rPr>
        <w:t>₹0.44 Cr</w:t>
      </w:r>
      <w:r w:rsidRPr="00976A17">
        <w:t xml:space="preserve">, reflecting the company’s consistent profitability. </w:t>
      </w:r>
      <w:r w:rsidRPr="00976A17">
        <w:rPr>
          <w:b/>
          <w:bCs/>
        </w:rPr>
        <w:t>Earnings Per Share (EPS)</w:t>
      </w:r>
      <w:r w:rsidRPr="00976A17">
        <w:t xml:space="preserve"> stood at </w:t>
      </w:r>
      <w:r w:rsidRPr="00976A17">
        <w:rPr>
          <w:b/>
          <w:bCs/>
        </w:rPr>
        <w:t>₹0.14</w:t>
      </w:r>
      <w:r w:rsidRPr="00976A17">
        <w:t xml:space="preserve">, up from </w:t>
      </w:r>
      <w:r w:rsidRPr="00976A17">
        <w:rPr>
          <w:b/>
          <w:bCs/>
        </w:rPr>
        <w:t>₹0.09</w:t>
      </w:r>
      <w:r w:rsidRPr="00976A17">
        <w:t xml:space="preserve"> in Q3 FY24. </w:t>
      </w:r>
    </w:p>
    <w:p w14:paraId="43BDBD7C" w14:textId="77777777" w:rsidR="00976A17" w:rsidRPr="00976A17" w:rsidRDefault="00976A17" w:rsidP="00976A17">
      <w:pPr>
        <w:pStyle w:val="NoSpacing"/>
      </w:pPr>
    </w:p>
    <w:p w14:paraId="605F73D0" w14:textId="1BBE9150" w:rsidR="00976A17" w:rsidRPr="00976A17" w:rsidRDefault="00976A17" w:rsidP="00976A17">
      <w:pPr>
        <w:pStyle w:val="NoSpacing"/>
      </w:pPr>
      <w:r w:rsidRPr="00976A17">
        <w:rPr>
          <w:b/>
          <w:bCs/>
        </w:rPr>
        <w:t>Operational Metrics (Q3 FY25 vs Q3 FY24)</w:t>
      </w:r>
      <w:r w:rsidR="00BF6AF2">
        <w:rPr>
          <w:b/>
          <w:bCs/>
        </w:rPr>
        <w:t xml:space="preserve">: </w:t>
      </w:r>
      <w:r w:rsidRPr="00976A17">
        <w:t xml:space="preserve">The company’s operational performance reflected </w:t>
      </w:r>
      <w:r w:rsidRPr="00976A17">
        <w:rPr>
          <w:b/>
          <w:bCs/>
        </w:rPr>
        <w:t>strong growth across key metrics</w:t>
      </w:r>
      <w:r w:rsidR="00BF6AF2">
        <w:t xml:space="preserve">. </w:t>
      </w:r>
      <w:r w:rsidRPr="00976A17">
        <w:rPr>
          <w:b/>
          <w:bCs/>
        </w:rPr>
        <w:t>Loan Book Growth</w:t>
      </w:r>
      <w:r w:rsidRPr="00976A17">
        <w:t xml:space="preserve">: The company’s loan portfolio expanded by </w:t>
      </w:r>
      <w:r w:rsidRPr="00976A17">
        <w:rPr>
          <w:b/>
          <w:bCs/>
        </w:rPr>
        <w:t>39.5% YoY</w:t>
      </w:r>
      <w:r w:rsidRPr="00976A17">
        <w:t xml:space="preserve">, reaching </w:t>
      </w:r>
      <w:r w:rsidRPr="00976A17">
        <w:rPr>
          <w:b/>
          <w:bCs/>
        </w:rPr>
        <w:t>₹569</w:t>
      </w:r>
      <w:r w:rsidR="00BF6AF2">
        <w:rPr>
          <w:b/>
          <w:bCs/>
        </w:rPr>
        <w:t>.</w:t>
      </w:r>
      <w:r w:rsidRPr="00976A17">
        <w:rPr>
          <w:b/>
          <w:bCs/>
        </w:rPr>
        <w:t>8 Cr</w:t>
      </w:r>
      <w:r w:rsidRPr="00976A17">
        <w:t xml:space="preserve"> in Q3 FY25 from </w:t>
      </w:r>
      <w:r w:rsidRPr="00976A17">
        <w:rPr>
          <w:b/>
          <w:bCs/>
        </w:rPr>
        <w:t>₹408</w:t>
      </w:r>
      <w:r w:rsidR="00BF6AF2">
        <w:rPr>
          <w:b/>
          <w:bCs/>
        </w:rPr>
        <w:t>.</w:t>
      </w:r>
      <w:r w:rsidRPr="00976A17">
        <w:rPr>
          <w:b/>
          <w:bCs/>
        </w:rPr>
        <w:t>4 Cr</w:t>
      </w:r>
      <w:r w:rsidRPr="00976A17">
        <w:t xml:space="preserve"> in Q3 FY24.</w:t>
      </w:r>
      <w:r>
        <w:t xml:space="preserve"> </w:t>
      </w:r>
      <w:r w:rsidRPr="00976A17">
        <w:rPr>
          <w:b/>
          <w:bCs/>
        </w:rPr>
        <w:t>Debt Levels</w:t>
      </w:r>
      <w:r w:rsidRPr="00976A17">
        <w:t xml:space="preserve">: Total outstanding debt rose </w:t>
      </w:r>
      <w:r w:rsidR="00BF6AF2">
        <w:rPr>
          <w:b/>
          <w:bCs/>
        </w:rPr>
        <w:t>17.8</w:t>
      </w:r>
      <w:r w:rsidRPr="00976A17">
        <w:rPr>
          <w:b/>
          <w:bCs/>
        </w:rPr>
        <w:t>% YoY</w:t>
      </w:r>
      <w:r w:rsidRPr="00976A17">
        <w:t xml:space="preserve"> to </w:t>
      </w:r>
      <w:r w:rsidRPr="00976A17">
        <w:rPr>
          <w:b/>
          <w:bCs/>
        </w:rPr>
        <w:t>₹568 Cr</w:t>
      </w:r>
      <w:r w:rsidRPr="00976A17">
        <w:t xml:space="preserve">, up from </w:t>
      </w:r>
      <w:r w:rsidRPr="00976A17">
        <w:rPr>
          <w:b/>
          <w:bCs/>
        </w:rPr>
        <w:t>₹4</w:t>
      </w:r>
      <w:r w:rsidR="00BF6AF2">
        <w:rPr>
          <w:b/>
          <w:bCs/>
        </w:rPr>
        <w:t>82</w:t>
      </w:r>
      <w:r w:rsidRPr="00976A17">
        <w:rPr>
          <w:b/>
          <w:bCs/>
        </w:rPr>
        <w:t xml:space="preserve"> Cr</w:t>
      </w:r>
      <w:r w:rsidRPr="00976A17">
        <w:t xml:space="preserve"> in Q3 FY24, reflecting increased borrowing to fund loan book growth.</w:t>
      </w:r>
      <w:r w:rsidR="00BF6AF2">
        <w:t xml:space="preserve"> </w:t>
      </w:r>
      <w:r w:rsidRPr="00976A17">
        <w:rPr>
          <w:b/>
          <w:bCs/>
        </w:rPr>
        <w:t>Asset Quality</w:t>
      </w:r>
      <w:r w:rsidRPr="00976A17">
        <w:t xml:space="preserve">: </w:t>
      </w:r>
      <w:r w:rsidRPr="00976A17">
        <w:rPr>
          <w:b/>
          <w:bCs/>
        </w:rPr>
        <w:t>Gross Non-Performing Assets (GNPA)</w:t>
      </w:r>
      <w:r w:rsidRPr="00976A17">
        <w:t xml:space="preserve"> improved to </w:t>
      </w:r>
      <w:r w:rsidRPr="00976A17">
        <w:rPr>
          <w:b/>
          <w:bCs/>
        </w:rPr>
        <w:t>1.27%</w:t>
      </w:r>
      <w:r w:rsidRPr="00976A17">
        <w:t xml:space="preserve">, down from </w:t>
      </w:r>
      <w:r w:rsidRPr="00976A17">
        <w:rPr>
          <w:b/>
          <w:bCs/>
        </w:rPr>
        <w:t>1.51%</w:t>
      </w:r>
      <w:r w:rsidRPr="00976A17">
        <w:t xml:space="preserve"> in FY24, indicating </w:t>
      </w:r>
      <w:r w:rsidRPr="00976A17">
        <w:rPr>
          <w:b/>
          <w:bCs/>
        </w:rPr>
        <w:t>better credit risk management</w:t>
      </w:r>
      <w:r w:rsidRPr="00976A17">
        <w:t>.</w:t>
      </w:r>
      <w:r>
        <w:t xml:space="preserve"> </w:t>
      </w:r>
      <w:r w:rsidRPr="00976A17">
        <w:rPr>
          <w:b/>
          <w:bCs/>
        </w:rPr>
        <w:t>Net NPA (NNPA)</w:t>
      </w:r>
      <w:r w:rsidRPr="00976A17">
        <w:t xml:space="preserve"> reduced to </w:t>
      </w:r>
      <w:r w:rsidRPr="00976A17">
        <w:rPr>
          <w:b/>
          <w:bCs/>
        </w:rPr>
        <w:t>1.10%</w:t>
      </w:r>
      <w:r w:rsidRPr="00976A17">
        <w:t xml:space="preserve">, compared to </w:t>
      </w:r>
      <w:r w:rsidRPr="00976A17">
        <w:rPr>
          <w:b/>
          <w:bCs/>
        </w:rPr>
        <w:t>1.33%</w:t>
      </w:r>
      <w:r w:rsidRPr="00976A17">
        <w:t xml:space="preserve"> in FY24.</w:t>
      </w:r>
      <w:r>
        <w:t xml:space="preserve"> </w:t>
      </w:r>
      <w:r w:rsidRPr="00976A17">
        <w:rPr>
          <w:b/>
          <w:bCs/>
        </w:rPr>
        <w:t>Provision Coverage Ratio (PCR)</w:t>
      </w:r>
      <w:r w:rsidRPr="00976A17">
        <w:t xml:space="preserve"> increased to </w:t>
      </w:r>
      <w:r w:rsidRPr="00976A17">
        <w:rPr>
          <w:b/>
          <w:bCs/>
        </w:rPr>
        <w:t>12.93%</w:t>
      </w:r>
      <w:r w:rsidRPr="00976A17">
        <w:t xml:space="preserve"> from </w:t>
      </w:r>
      <w:r w:rsidRPr="00976A17">
        <w:rPr>
          <w:b/>
          <w:bCs/>
        </w:rPr>
        <w:t>12.19%</w:t>
      </w:r>
      <w:r w:rsidRPr="00976A17">
        <w:t xml:space="preserve"> in FY24, reflecting </w:t>
      </w:r>
      <w:r w:rsidRPr="00976A17">
        <w:rPr>
          <w:b/>
          <w:bCs/>
        </w:rPr>
        <w:t>prudent provisioning</w:t>
      </w:r>
      <w:r w:rsidRPr="00976A17">
        <w:t>.</w:t>
      </w:r>
    </w:p>
    <w:p w14:paraId="65D523A1" w14:textId="77777777" w:rsidR="00976A17" w:rsidRDefault="00976A17" w:rsidP="00976A17">
      <w:pPr>
        <w:pStyle w:val="NoSpacing"/>
        <w:rPr>
          <w:b/>
          <w:bCs/>
        </w:rPr>
      </w:pPr>
    </w:p>
    <w:p w14:paraId="7ACCFA52" w14:textId="0E3C4EB5" w:rsidR="0003323A" w:rsidRDefault="00976A17" w:rsidP="00976A17">
      <w:pPr>
        <w:pStyle w:val="NoSpacing"/>
      </w:pPr>
      <w:r w:rsidRPr="00976A17">
        <w:rPr>
          <w:b/>
          <w:bCs/>
        </w:rPr>
        <w:t>Strategic Developments</w:t>
      </w:r>
      <w:r w:rsidR="00BF6AF2">
        <w:rPr>
          <w:b/>
          <w:bCs/>
        </w:rPr>
        <w:t xml:space="preserve">: </w:t>
      </w:r>
      <w:r w:rsidRPr="00976A17">
        <w:rPr>
          <w:b/>
          <w:bCs/>
        </w:rPr>
        <w:t>Capital Adequacy Ratio (CAR)</w:t>
      </w:r>
      <w:r w:rsidRPr="00976A17">
        <w:t xml:space="preserve"> improved to </w:t>
      </w:r>
      <w:r w:rsidRPr="00976A17">
        <w:rPr>
          <w:b/>
          <w:bCs/>
        </w:rPr>
        <w:t>18.07%</w:t>
      </w:r>
      <w:r w:rsidRPr="00976A17">
        <w:t xml:space="preserve">, up from </w:t>
      </w:r>
      <w:r w:rsidRPr="00976A17">
        <w:rPr>
          <w:b/>
          <w:bCs/>
        </w:rPr>
        <w:t>14.99%</w:t>
      </w:r>
      <w:r w:rsidRPr="00976A17">
        <w:t xml:space="preserve"> in FY24, strengthening the company’s financial position.</w:t>
      </w:r>
      <w:r w:rsidR="00BF6AF2">
        <w:t xml:space="preserve"> </w:t>
      </w:r>
      <w:r w:rsidRPr="00976A17">
        <w:rPr>
          <w:b/>
          <w:bCs/>
        </w:rPr>
        <w:t>Equity Fundraising</w:t>
      </w:r>
      <w:r w:rsidRPr="00976A17">
        <w:t xml:space="preserve">: The Board approved a </w:t>
      </w:r>
      <w:r w:rsidRPr="00976A17">
        <w:rPr>
          <w:b/>
          <w:bCs/>
        </w:rPr>
        <w:t>rights issue at a 1:6 ratio</w:t>
      </w:r>
      <w:r w:rsidRPr="00976A17">
        <w:t>, providing capital for further expansion.</w:t>
      </w:r>
      <w:r w:rsidR="00BF6AF2">
        <w:t xml:space="preserve"> </w:t>
      </w:r>
      <w:r w:rsidRPr="00976A17">
        <w:rPr>
          <w:b/>
          <w:bCs/>
        </w:rPr>
        <w:t>Debt Issuance</w:t>
      </w:r>
      <w:r w:rsidRPr="00976A17">
        <w:t xml:space="preserve">: Raised </w:t>
      </w:r>
      <w:r w:rsidRPr="00976A17">
        <w:rPr>
          <w:b/>
          <w:bCs/>
        </w:rPr>
        <w:t>₹100 Cr</w:t>
      </w:r>
      <w:r w:rsidRPr="00976A17">
        <w:t xml:space="preserve"> through </w:t>
      </w:r>
      <w:r w:rsidRPr="00976A17">
        <w:rPr>
          <w:b/>
          <w:bCs/>
        </w:rPr>
        <w:t>Secured Non-Convertible Debentures (NCDs)</w:t>
      </w:r>
      <w:r w:rsidRPr="00976A17">
        <w:t xml:space="preserve"> to support loan book growth.</w:t>
      </w:r>
      <w:r w:rsidR="00BF6AF2">
        <w:t xml:space="preserve"> </w:t>
      </w:r>
      <w:r w:rsidRPr="00976A17">
        <w:t xml:space="preserve">ICL Fincorp’s Q3 FY25 results highlight </w:t>
      </w:r>
      <w:r w:rsidRPr="00976A17">
        <w:rPr>
          <w:b/>
          <w:bCs/>
        </w:rPr>
        <w:t>strong revenue growth, improved profitability, and better asset quality</w:t>
      </w:r>
      <w:r w:rsidRPr="00976A17">
        <w:t xml:space="preserve">. The company continues to expand its loan book while maintaining </w:t>
      </w:r>
      <w:r w:rsidRPr="00976A17">
        <w:rPr>
          <w:b/>
          <w:bCs/>
        </w:rPr>
        <w:t>a controlled NPA ratio and strong capital position</w:t>
      </w:r>
      <w:r w:rsidRPr="00976A17">
        <w:t xml:space="preserve">. </w:t>
      </w:r>
      <w:r w:rsidR="00BF6AF2" w:rsidRPr="00BF6AF2">
        <w:t xml:space="preserve">Future growth prospects </w:t>
      </w:r>
      <w:r w:rsidR="00BF6AF2" w:rsidRPr="00BF6AF2">
        <w:rPr>
          <w:b/>
          <w:bCs/>
        </w:rPr>
        <w:t>remain under close watch</w:t>
      </w:r>
      <w:r w:rsidR="00BF6AF2" w:rsidRPr="00BF6AF2">
        <w:t xml:space="preserve">, driven by </w:t>
      </w:r>
      <w:r w:rsidR="00BF6AF2" w:rsidRPr="00BF6AF2">
        <w:rPr>
          <w:b/>
          <w:bCs/>
        </w:rPr>
        <w:t>capital infusion and operational expansion strategies</w:t>
      </w:r>
      <w:r w:rsidR="00BF6AF2" w:rsidRPr="00BF6AF2">
        <w:t>.</w:t>
      </w:r>
    </w:p>
    <w:p w14:paraId="6ECAC014" w14:textId="77777777" w:rsidR="008018BE" w:rsidRDefault="008018BE" w:rsidP="00976A17">
      <w:pPr>
        <w:pStyle w:val="NoSpacing"/>
      </w:pPr>
    </w:p>
    <w:p w14:paraId="3860C251" w14:textId="77777777" w:rsidR="008018BE" w:rsidRDefault="008018BE" w:rsidP="00976A17">
      <w:pPr>
        <w:pStyle w:val="NoSpacing"/>
      </w:pPr>
    </w:p>
    <w:p w14:paraId="17675A59" w14:textId="77777777" w:rsidR="008018BE" w:rsidRDefault="008018BE" w:rsidP="00976A17">
      <w:pPr>
        <w:pStyle w:val="NoSpacing"/>
      </w:pPr>
    </w:p>
    <w:p w14:paraId="24DF4240" w14:textId="77777777" w:rsidR="008018BE" w:rsidRDefault="008018BE" w:rsidP="00976A17">
      <w:pPr>
        <w:pStyle w:val="NoSpacing"/>
      </w:pPr>
    </w:p>
    <w:p w14:paraId="4BEB2410" w14:textId="3003B495" w:rsidR="008018BE" w:rsidRDefault="009973C1" w:rsidP="00976A17">
      <w:pPr>
        <w:pStyle w:val="NoSpacing"/>
        <w:rPr>
          <w:b/>
          <w:bCs/>
        </w:rPr>
      </w:pPr>
      <w:r w:rsidRPr="00976A17">
        <w:rPr>
          <w:b/>
          <w:bCs/>
        </w:rPr>
        <w:t>Q3 FY25 Results</w:t>
      </w:r>
      <w:r>
        <w:rPr>
          <w:b/>
          <w:bCs/>
        </w:rPr>
        <w:t xml:space="preserve"> Update – IKF Finance</w:t>
      </w:r>
    </w:p>
    <w:p w14:paraId="6B651DE6" w14:textId="77777777" w:rsidR="009973C1" w:rsidRDefault="009973C1" w:rsidP="00976A17">
      <w:pPr>
        <w:pStyle w:val="NoSpacing"/>
      </w:pPr>
    </w:p>
    <w:p w14:paraId="59A84286" w14:textId="7B196C7E" w:rsidR="008018BE" w:rsidRDefault="008018BE" w:rsidP="008018BE">
      <w:pPr>
        <w:pStyle w:val="NoSpacing"/>
        <w:rPr>
          <w:b/>
          <w:bCs/>
        </w:rPr>
      </w:pPr>
      <w:r>
        <w:rPr>
          <w:b/>
          <w:bCs/>
        </w:rPr>
        <w:t xml:space="preserve">IKF Finance </w:t>
      </w:r>
      <w:r w:rsidRPr="00976A17">
        <w:rPr>
          <w:b/>
          <w:bCs/>
        </w:rPr>
        <w:t>Q3 FY25 Results Analysis</w:t>
      </w:r>
    </w:p>
    <w:p w14:paraId="1130AD52" w14:textId="77777777" w:rsidR="003D144F" w:rsidRDefault="003D144F" w:rsidP="008018BE">
      <w:pPr>
        <w:pStyle w:val="NoSpacing"/>
        <w:rPr>
          <w:b/>
          <w:bCs/>
        </w:rPr>
      </w:pPr>
    </w:p>
    <w:p w14:paraId="0581E287" w14:textId="76006193" w:rsidR="008018BE" w:rsidRPr="008018BE" w:rsidRDefault="008018BE" w:rsidP="008018BE">
      <w:pPr>
        <w:pStyle w:val="NoSpacing"/>
      </w:pPr>
      <w:r w:rsidRPr="008018BE">
        <w:rPr>
          <w:b/>
          <w:bCs/>
        </w:rPr>
        <w:t>Financial Performance (Q3 FY25 vs Q3 FY24)</w:t>
      </w:r>
      <w:r w:rsidR="003D144F">
        <w:rPr>
          <w:b/>
          <w:bCs/>
        </w:rPr>
        <w:t xml:space="preserve">: </w:t>
      </w:r>
      <w:r w:rsidRPr="008018BE">
        <w:t xml:space="preserve">The company delivered a strong financial performance in Q3 FY25, with </w:t>
      </w:r>
      <w:r w:rsidRPr="008018BE">
        <w:rPr>
          <w:b/>
          <w:bCs/>
        </w:rPr>
        <w:t>total revenue increasing by 5</w:t>
      </w:r>
      <w:r w:rsidR="000F0733">
        <w:rPr>
          <w:b/>
          <w:bCs/>
        </w:rPr>
        <w:t>2.6</w:t>
      </w:r>
      <w:r w:rsidRPr="008018BE">
        <w:rPr>
          <w:b/>
          <w:bCs/>
        </w:rPr>
        <w:t>% year-on-year (YoY)</w:t>
      </w:r>
      <w:r w:rsidRPr="008018BE">
        <w:t xml:space="preserve"> to ₹169.</w:t>
      </w:r>
      <w:r w:rsidR="000F0733">
        <w:t>6</w:t>
      </w:r>
      <w:r w:rsidRPr="008018BE">
        <w:t xml:space="preserve"> Cr from ₹111.1 Cr in Q3 FY24. This growth reflects strong business momentum driven by higher interest income and improved fee-based revenue. </w:t>
      </w:r>
      <w:r w:rsidRPr="008018BE">
        <w:rPr>
          <w:b/>
          <w:bCs/>
        </w:rPr>
        <w:t>Profit Before Tax (PBT) surged 50.7% YoY</w:t>
      </w:r>
      <w:r w:rsidRPr="008018BE">
        <w:t>, reaching ₹37.</w:t>
      </w:r>
      <w:r w:rsidR="000F0733">
        <w:t>6</w:t>
      </w:r>
      <w:r w:rsidRPr="008018BE">
        <w:t xml:space="preserve"> Cr compared to ₹24.9 Cr in Q3 FY24, highlighting better cost management and operational efficiency. Similarly, </w:t>
      </w:r>
      <w:r w:rsidRPr="008018BE">
        <w:rPr>
          <w:b/>
          <w:bCs/>
        </w:rPr>
        <w:t>Profit After Tax (PAT) grew by 50.8%</w:t>
      </w:r>
      <w:r w:rsidRPr="008018BE">
        <w:t xml:space="preserve"> to ₹28.</w:t>
      </w:r>
      <w:r w:rsidR="0039322C">
        <w:t>1</w:t>
      </w:r>
      <w:r w:rsidRPr="008018BE">
        <w:t xml:space="preserve"> Cr from ₹18.6 Cr in the same period last year, reinforcing the company’s consistent profitability. </w:t>
      </w:r>
      <w:r w:rsidRPr="008018BE">
        <w:rPr>
          <w:b/>
          <w:bCs/>
        </w:rPr>
        <w:t>Earnings Per Share (EPS) rose to ₹4.00</w:t>
      </w:r>
      <w:r w:rsidRPr="008018BE">
        <w:t>, marking a 44.4% YoY increase from ₹2.77 in Q3 FY24, reflecting strong shareholder value creation.</w:t>
      </w:r>
    </w:p>
    <w:p w14:paraId="7C1830B6" w14:textId="77777777" w:rsidR="008018BE" w:rsidRDefault="008018BE" w:rsidP="008018BE">
      <w:pPr>
        <w:pStyle w:val="NoSpacing"/>
        <w:rPr>
          <w:b/>
          <w:bCs/>
        </w:rPr>
      </w:pPr>
    </w:p>
    <w:p w14:paraId="0F52651B" w14:textId="70FBECAF" w:rsidR="008018BE" w:rsidRDefault="008018BE" w:rsidP="008018BE">
      <w:pPr>
        <w:pStyle w:val="NoSpacing"/>
      </w:pPr>
      <w:r w:rsidRPr="008018BE">
        <w:rPr>
          <w:b/>
          <w:bCs/>
        </w:rPr>
        <w:t>Operational Metrics (Q3 FY25 vs Q3 FY24)</w:t>
      </w:r>
      <w:r w:rsidR="003D144F">
        <w:rPr>
          <w:b/>
          <w:bCs/>
        </w:rPr>
        <w:t xml:space="preserve">: </w:t>
      </w:r>
      <w:r w:rsidR="003D144F" w:rsidRPr="003D144F">
        <w:t xml:space="preserve">The company showcased strong operational efficiency, with net worth increasing </w:t>
      </w:r>
      <w:r w:rsidR="003D144F" w:rsidRPr="003D144F">
        <w:rPr>
          <w:b/>
          <w:bCs/>
        </w:rPr>
        <w:t>13.1% YoY</w:t>
      </w:r>
      <w:r w:rsidR="003D144F" w:rsidRPr="003D144F">
        <w:t xml:space="preserve"> to </w:t>
      </w:r>
      <w:r w:rsidR="003D144F" w:rsidRPr="003D144F">
        <w:rPr>
          <w:b/>
          <w:bCs/>
        </w:rPr>
        <w:t>₹962.1 Cr</w:t>
      </w:r>
      <w:r w:rsidR="003D144F" w:rsidRPr="003D144F">
        <w:t xml:space="preserve">, up from </w:t>
      </w:r>
      <w:r w:rsidR="003D144F" w:rsidRPr="003D144F">
        <w:rPr>
          <w:b/>
          <w:bCs/>
        </w:rPr>
        <w:t>₹850.9 Cr</w:t>
      </w:r>
      <w:r w:rsidR="003D144F" w:rsidRPr="003D144F">
        <w:t xml:space="preserve"> in Q3 FY24, driven by higher earnings retention and improved capital efficiency. </w:t>
      </w:r>
      <w:r w:rsidR="003D144F" w:rsidRPr="003D144F">
        <w:rPr>
          <w:b/>
          <w:bCs/>
        </w:rPr>
        <w:t>Net profit margin remained steady at 16.6% in Q3 FY25</w:t>
      </w:r>
      <w:r w:rsidR="003D144F" w:rsidRPr="003D144F">
        <w:t xml:space="preserve">, slightly lower than </w:t>
      </w:r>
      <w:r w:rsidR="003D144F" w:rsidRPr="003D144F">
        <w:rPr>
          <w:b/>
          <w:bCs/>
        </w:rPr>
        <w:t>16.8% in Q3 FY24</w:t>
      </w:r>
      <w:r w:rsidR="003D144F" w:rsidRPr="003D144F">
        <w:t xml:space="preserve">, indicating effective cost management amid business expansion. Meanwhile, </w:t>
      </w:r>
      <w:r w:rsidR="003D144F" w:rsidRPr="003D144F">
        <w:rPr>
          <w:b/>
          <w:bCs/>
        </w:rPr>
        <w:t>capital adequacy declined to 23.13% from 30.46% in Q3 FY24</w:t>
      </w:r>
      <w:r w:rsidR="003D144F" w:rsidRPr="003D144F">
        <w:t>, reflecting a shift in the company’s capital structure while maintaining a solid financial position.</w:t>
      </w:r>
    </w:p>
    <w:p w14:paraId="24E62EB0" w14:textId="77777777" w:rsidR="003D144F" w:rsidRDefault="003D144F" w:rsidP="008018BE">
      <w:pPr>
        <w:pStyle w:val="NoSpacing"/>
        <w:rPr>
          <w:b/>
          <w:bCs/>
        </w:rPr>
      </w:pPr>
    </w:p>
    <w:p w14:paraId="4501531A" w14:textId="4C751A79" w:rsidR="008018BE" w:rsidRPr="008018BE" w:rsidRDefault="008018BE" w:rsidP="008018BE">
      <w:pPr>
        <w:pStyle w:val="NoSpacing"/>
      </w:pPr>
      <w:r w:rsidRPr="008018BE">
        <w:rPr>
          <w:b/>
          <w:bCs/>
        </w:rPr>
        <w:t>Strategic Developments</w:t>
      </w:r>
      <w:r w:rsidR="003D144F">
        <w:rPr>
          <w:b/>
          <w:bCs/>
        </w:rPr>
        <w:t xml:space="preserve">: </w:t>
      </w:r>
      <w:r w:rsidRPr="008018BE">
        <w:t xml:space="preserve">The company continues to focus on strengthening its financial position and operational efficiencies. With </w:t>
      </w:r>
      <w:r w:rsidRPr="008018BE">
        <w:rPr>
          <w:b/>
          <w:bCs/>
        </w:rPr>
        <w:t>provision coverage ratio improving to 24.28%</w:t>
      </w:r>
      <w:r w:rsidRPr="008018BE">
        <w:t xml:space="preserve">, risk management remains a key focus area. The company also enhanced its portfolio quality, with </w:t>
      </w:r>
      <w:r w:rsidRPr="008018BE">
        <w:rPr>
          <w:b/>
          <w:bCs/>
        </w:rPr>
        <w:t>Gross Stage-3 assets reducing to 2.11%</w:t>
      </w:r>
      <w:r w:rsidRPr="008018BE">
        <w:t xml:space="preserve"> from 2.32% YoY, reflecting improved asset quality. </w:t>
      </w:r>
      <w:r w:rsidR="00EC6A8A" w:rsidRPr="00EC6A8A">
        <w:t>With sustained revenue growth and strong risk management, monitoring upcoming results will provide better insights into future expansion and profitability</w:t>
      </w:r>
    </w:p>
    <w:p w14:paraId="31FE44A3" w14:textId="77777777" w:rsidR="008018BE" w:rsidRPr="008018BE" w:rsidRDefault="008018BE" w:rsidP="008018BE">
      <w:pPr>
        <w:pStyle w:val="NoSpacing"/>
      </w:pPr>
    </w:p>
    <w:p w14:paraId="435CC96D" w14:textId="77777777" w:rsidR="008018BE" w:rsidRDefault="008018BE" w:rsidP="00976A17">
      <w:pPr>
        <w:pStyle w:val="NoSpacing"/>
      </w:pPr>
    </w:p>
    <w:sectPr w:rsidR="008018BE" w:rsidSect="00976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A8C"/>
    <w:multiLevelType w:val="multilevel"/>
    <w:tmpl w:val="526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34F5"/>
    <w:multiLevelType w:val="multilevel"/>
    <w:tmpl w:val="C0AC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925366">
    <w:abstractNumId w:val="0"/>
  </w:num>
  <w:num w:numId="2" w16cid:durableId="25267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17"/>
    <w:rsid w:val="0003323A"/>
    <w:rsid w:val="000F0733"/>
    <w:rsid w:val="002F2C4D"/>
    <w:rsid w:val="0039322C"/>
    <w:rsid w:val="003D144F"/>
    <w:rsid w:val="003D62CF"/>
    <w:rsid w:val="008018BE"/>
    <w:rsid w:val="00976A17"/>
    <w:rsid w:val="009973C1"/>
    <w:rsid w:val="00B83690"/>
    <w:rsid w:val="00B94EFB"/>
    <w:rsid w:val="00BD0B7C"/>
    <w:rsid w:val="00BF6AF2"/>
    <w:rsid w:val="00E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995E"/>
  <w15:chartTrackingRefBased/>
  <w15:docId w15:val="{0813FF03-057B-42B0-8147-4AA9D99A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1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76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Planify</dc:creator>
  <cp:keywords/>
  <dc:description/>
  <cp:lastModifiedBy>Planify</cp:lastModifiedBy>
  <cp:revision>65</cp:revision>
  <dcterms:created xsi:type="dcterms:W3CDTF">2025-03-13T07:12:00Z</dcterms:created>
  <dcterms:modified xsi:type="dcterms:W3CDTF">2025-03-13T08:05:00Z</dcterms:modified>
</cp:coreProperties>
</file>